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643" w:rsidRPr="00B20643" w:rsidRDefault="00B20643" w:rsidP="00970DD9">
      <w:pPr>
        <w:bidi w:val="0"/>
        <w:ind w:left="-567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B20643">
        <w:rPr>
          <w:rFonts w:asciiTheme="majorBidi" w:hAnsiTheme="majorBidi" w:cstheme="majorBidi"/>
          <w:b/>
          <w:bCs/>
          <w:sz w:val="28"/>
          <w:szCs w:val="28"/>
          <w:lang w:bidi="ar-IQ"/>
        </w:rPr>
        <w:t>Subcutaneous Mycoses</w:t>
      </w:r>
    </w:p>
    <w:tbl>
      <w:tblPr>
        <w:tblpPr w:leftFromText="180" w:rightFromText="180" w:vertAnchor="text" w:horzAnchor="margin" w:tblpXSpec="center" w:tblpY="1924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257"/>
        <w:gridCol w:w="5674"/>
        <w:gridCol w:w="1329"/>
      </w:tblGrid>
      <w:tr w:rsidR="00D71A33" w:rsidRPr="00B20643" w:rsidTr="00107686">
        <w:tc>
          <w:tcPr>
            <w:tcW w:w="3257" w:type="dxa"/>
            <w:shd w:val="clear" w:color="auto" w:fill="C7DAEA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  <w:hideMark/>
          </w:tcPr>
          <w:p w:rsidR="00B20643" w:rsidRPr="00B20643" w:rsidRDefault="00B20643" w:rsidP="00D71A33">
            <w:pPr>
              <w:bidi w:val="0"/>
              <w:ind w:left="-56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B2064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Disease</w:t>
            </w:r>
          </w:p>
        </w:tc>
        <w:tc>
          <w:tcPr>
            <w:tcW w:w="5674" w:type="dxa"/>
            <w:shd w:val="clear" w:color="auto" w:fill="C7DAEA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  <w:hideMark/>
          </w:tcPr>
          <w:p w:rsidR="00B20643" w:rsidRPr="00B20643" w:rsidRDefault="00B20643" w:rsidP="00107686">
            <w:pPr>
              <w:bidi w:val="0"/>
              <w:ind w:left="-56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B2064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Causative organisms</w:t>
            </w:r>
          </w:p>
        </w:tc>
        <w:tc>
          <w:tcPr>
            <w:tcW w:w="1329" w:type="dxa"/>
            <w:shd w:val="clear" w:color="auto" w:fill="C7DAEA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  <w:hideMark/>
          </w:tcPr>
          <w:p w:rsidR="00B20643" w:rsidRPr="00B20643" w:rsidRDefault="00B20643" w:rsidP="00107686">
            <w:pPr>
              <w:bidi w:val="0"/>
              <w:ind w:left="-567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B2064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Incidence</w:t>
            </w:r>
          </w:p>
        </w:tc>
      </w:tr>
      <w:tr w:rsidR="00D71A33" w:rsidRPr="00B20643" w:rsidTr="00107686">
        <w:tc>
          <w:tcPr>
            <w:tcW w:w="3257" w:type="dxa"/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D71A33">
            <w:pPr>
              <w:bidi w:val="0"/>
              <w:ind w:left="-567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proofErr w:type="spellStart"/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Sporotrichosis</w:t>
            </w:r>
            <w:proofErr w:type="spellEnd"/>
          </w:p>
        </w:tc>
        <w:tc>
          <w:tcPr>
            <w:tcW w:w="5674" w:type="dxa"/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107686">
            <w:pPr>
              <w:bidi w:val="0"/>
              <w:ind w:left="-567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Sporothrix</w:t>
            </w:r>
            <w:proofErr w:type="spellEnd"/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 spp.</w:t>
            </w:r>
          </w:p>
        </w:tc>
        <w:tc>
          <w:tcPr>
            <w:tcW w:w="1329" w:type="dxa"/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107686">
            <w:pPr>
              <w:bidi w:val="0"/>
              <w:ind w:left="-567"/>
              <w:jc w:val="right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Rare</w:t>
            </w:r>
          </w:p>
        </w:tc>
      </w:tr>
      <w:tr w:rsidR="00D71A33" w:rsidRPr="00B20643" w:rsidTr="00107686">
        <w:tc>
          <w:tcPr>
            <w:tcW w:w="3257" w:type="dxa"/>
            <w:shd w:val="clear" w:color="auto" w:fill="EAF1F8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D71A33">
            <w:pPr>
              <w:bidi w:val="0"/>
              <w:ind w:left="-567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proofErr w:type="spellStart"/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Chromoblastomycosis</w:t>
            </w:r>
            <w:proofErr w:type="spellEnd"/>
          </w:p>
        </w:tc>
        <w:tc>
          <w:tcPr>
            <w:tcW w:w="5674" w:type="dxa"/>
            <w:shd w:val="clear" w:color="auto" w:fill="EAF1F8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107686">
            <w:pPr>
              <w:bidi w:val="0"/>
              <w:ind w:left="-567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Fonsecaea</w:t>
            </w:r>
            <w:proofErr w:type="spellEnd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 xml:space="preserve">, </w:t>
            </w: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Phialophora</w:t>
            </w:r>
            <w:proofErr w:type="spellEnd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,</w:t>
            </w:r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br/>
            </w: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Cladophialophora</w:t>
            </w:r>
            <w:proofErr w:type="spellEnd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 </w:t>
            </w:r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etc.</w:t>
            </w:r>
          </w:p>
        </w:tc>
        <w:tc>
          <w:tcPr>
            <w:tcW w:w="1329" w:type="dxa"/>
            <w:shd w:val="clear" w:color="auto" w:fill="EAF1F8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107686">
            <w:pPr>
              <w:bidi w:val="0"/>
              <w:ind w:left="-567"/>
              <w:jc w:val="right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Rare</w:t>
            </w:r>
          </w:p>
        </w:tc>
      </w:tr>
      <w:tr w:rsidR="00D71A33" w:rsidRPr="00B20643" w:rsidTr="00107686">
        <w:tc>
          <w:tcPr>
            <w:tcW w:w="3257" w:type="dxa"/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D71A33">
            <w:pPr>
              <w:bidi w:val="0"/>
              <w:ind w:left="-567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proofErr w:type="spellStart"/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Phaeohyphomycosis</w:t>
            </w:r>
            <w:proofErr w:type="spellEnd"/>
          </w:p>
        </w:tc>
        <w:tc>
          <w:tcPr>
            <w:tcW w:w="5674" w:type="dxa"/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107686">
            <w:pPr>
              <w:bidi w:val="0"/>
              <w:ind w:left="-567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Cladophialophora</w:t>
            </w:r>
            <w:proofErr w:type="spellEnd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 xml:space="preserve">, </w:t>
            </w: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Exophiala</w:t>
            </w:r>
            <w:proofErr w:type="spellEnd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, </w:t>
            </w:r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br/>
            </w: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Bipolaris</w:t>
            </w:r>
            <w:proofErr w:type="spellEnd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 xml:space="preserve">, </w:t>
            </w: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Exserohilum</w:t>
            </w:r>
            <w:proofErr w:type="spellEnd"/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 etc</w:t>
            </w:r>
          </w:p>
        </w:tc>
        <w:tc>
          <w:tcPr>
            <w:tcW w:w="1329" w:type="dxa"/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107686">
            <w:pPr>
              <w:bidi w:val="0"/>
              <w:ind w:left="-567"/>
              <w:jc w:val="right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Rare</w:t>
            </w:r>
          </w:p>
        </w:tc>
      </w:tr>
      <w:tr w:rsidR="00D71A33" w:rsidRPr="00B20643" w:rsidTr="00107686">
        <w:tc>
          <w:tcPr>
            <w:tcW w:w="3257" w:type="dxa"/>
            <w:shd w:val="clear" w:color="auto" w:fill="EAF1F8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D71A33">
            <w:pPr>
              <w:bidi w:val="0"/>
              <w:ind w:left="-567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proofErr w:type="spellStart"/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Mycotic</w:t>
            </w:r>
            <w:proofErr w:type="spellEnd"/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mycetoma</w:t>
            </w:r>
            <w:proofErr w:type="spellEnd"/>
          </w:p>
        </w:tc>
        <w:tc>
          <w:tcPr>
            <w:tcW w:w="5674" w:type="dxa"/>
            <w:shd w:val="clear" w:color="auto" w:fill="EAF1F8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107686">
            <w:pPr>
              <w:bidi w:val="0"/>
              <w:ind w:left="-567"/>
              <w:jc w:val="right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Scedosporium</w:t>
            </w:r>
            <w:proofErr w:type="spellEnd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 xml:space="preserve">, </w:t>
            </w: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Madurella</w:t>
            </w:r>
            <w:proofErr w:type="spellEnd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, </w:t>
            </w: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Trematosphaeria</w:t>
            </w:r>
            <w:proofErr w:type="spellEnd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, </w:t>
            </w:r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br/>
            </w: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Acremonium</w:t>
            </w:r>
            <w:proofErr w:type="spellEnd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 xml:space="preserve">, </w:t>
            </w: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Exophiala</w:t>
            </w:r>
            <w:proofErr w:type="spellEnd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 etc.</w:t>
            </w:r>
          </w:p>
        </w:tc>
        <w:tc>
          <w:tcPr>
            <w:tcW w:w="1329" w:type="dxa"/>
            <w:shd w:val="clear" w:color="auto" w:fill="EAF1F8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107686">
            <w:pPr>
              <w:bidi w:val="0"/>
              <w:ind w:left="-567"/>
              <w:jc w:val="right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Rare</w:t>
            </w:r>
          </w:p>
        </w:tc>
      </w:tr>
      <w:tr w:rsidR="00D71A33" w:rsidRPr="00B20643" w:rsidTr="00107686">
        <w:tc>
          <w:tcPr>
            <w:tcW w:w="3257" w:type="dxa"/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107686">
            <w:pPr>
              <w:bidi w:val="0"/>
              <w:ind w:left="-567"/>
              <w:jc w:val="right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Subcutaneous </w:t>
            </w:r>
            <w:proofErr w:type="spellStart"/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zygomycosis</w:t>
            </w:r>
            <w:proofErr w:type="spellEnd"/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br/>
              <w:t>(</w:t>
            </w:r>
            <w:proofErr w:type="spellStart"/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Entomophthoromycosis</w:t>
            </w:r>
            <w:proofErr w:type="spellEnd"/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)</w:t>
            </w:r>
          </w:p>
        </w:tc>
        <w:tc>
          <w:tcPr>
            <w:tcW w:w="5674" w:type="dxa"/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107686">
            <w:pPr>
              <w:bidi w:val="0"/>
              <w:ind w:left="-567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Basidiobolus</w:t>
            </w:r>
            <w:proofErr w:type="spellEnd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ranarum</w:t>
            </w:r>
            <w:proofErr w:type="spellEnd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 </w:t>
            </w:r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br/>
            </w: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Conidiobolus</w:t>
            </w:r>
            <w:proofErr w:type="spellEnd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coronatus</w:t>
            </w:r>
            <w:proofErr w:type="spellEnd"/>
          </w:p>
        </w:tc>
        <w:tc>
          <w:tcPr>
            <w:tcW w:w="1329" w:type="dxa"/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107686">
            <w:pPr>
              <w:bidi w:val="0"/>
              <w:ind w:left="-567"/>
              <w:jc w:val="right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Rare</w:t>
            </w:r>
          </w:p>
        </w:tc>
      </w:tr>
      <w:tr w:rsidR="00D71A33" w:rsidRPr="00B20643" w:rsidTr="00107686">
        <w:tc>
          <w:tcPr>
            <w:tcW w:w="3257" w:type="dxa"/>
            <w:shd w:val="clear" w:color="auto" w:fill="EAF1F8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107686">
            <w:pPr>
              <w:bidi w:val="0"/>
              <w:ind w:left="-567"/>
              <w:jc w:val="right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Subcutaneous </w:t>
            </w:r>
            <w:proofErr w:type="spellStart"/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zygomycosis</w:t>
            </w:r>
            <w:proofErr w:type="spellEnd"/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br/>
              <w:t> (</w:t>
            </w:r>
            <w:proofErr w:type="spellStart"/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Mucormycosis</w:t>
            </w:r>
            <w:proofErr w:type="spellEnd"/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)</w:t>
            </w:r>
          </w:p>
        </w:tc>
        <w:tc>
          <w:tcPr>
            <w:tcW w:w="5674" w:type="dxa"/>
            <w:shd w:val="clear" w:color="auto" w:fill="EAF1F8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D71A33">
            <w:pPr>
              <w:bidi w:val="0"/>
              <w:ind w:left="-567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Rhizopus</w:t>
            </w:r>
            <w:proofErr w:type="spellEnd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 xml:space="preserve">, </w:t>
            </w: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Mucor</w:t>
            </w:r>
            <w:proofErr w:type="spellEnd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 xml:space="preserve">, </w:t>
            </w: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Rhizomucor</w:t>
            </w:r>
            <w:proofErr w:type="spellEnd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,</w:t>
            </w:r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br/>
            </w: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Lichtheimia</w:t>
            </w:r>
            <w:proofErr w:type="spellEnd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 xml:space="preserve">, </w:t>
            </w: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Saksenaea</w:t>
            </w:r>
            <w:proofErr w:type="spellEnd"/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 etc.</w:t>
            </w:r>
          </w:p>
        </w:tc>
        <w:tc>
          <w:tcPr>
            <w:tcW w:w="1329" w:type="dxa"/>
            <w:shd w:val="clear" w:color="auto" w:fill="EAF1F8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107686">
            <w:pPr>
              <w:bidi w:val="0"/>
              <w:ind w:left="-567"/>
              <w:jc w:val="right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Rare</w:t>
            </w:r>
          </w:p>
        </w:tc>
      </w:tr>
      <w:tr w:rsidR="00D71A33" w:rsidRPr="00B20643" w:rsidTr="00107686">
        <w:tc>
          <w:tcPr>
            <w:tcW w:w="3257" w:type="dxa"/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107686">
            <w:pPr>
              <w:bidi w:val="0"/>
              <w:ind w:left="-567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proofErr w:type="spellStart"/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Lobomycosis</w:t>
            </w:r>
            <w:proofErr w:type="spellEnd"/>
          </w:p>
        </w:tc>
        <w:tc>
          <w:tcPr>
            <w:tcW w:w="5674" w:type="dxa"/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107686">
            <w:pPr>
              <w:bidi w:val="0"/>
              <w:ind w:left="-567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Loboa</w:t>
            </w:r>
            <w:proofErr w:type="spellEnd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loboi</w:t>
            </w:r>
            <w:proofErr w:type="spellEnd"/>
          </w:p>
        </w:tc>
        <w:tc>
          <w:tcPr>
            <w:tcW w:w="1329" w:type="dxa"/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107686">
            <w:pPr>
              <w:bidi w:val="0"/>
              <w:ind w:left="-567"/>
              <w:jc w:val="right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Rare</w:t>
            </w:r>
          </w:p>
        </w:tc>
      </w:tr>
      <w:tr w:rsidR="00D71A33" w:rsidRPr="00B20643" w:rsidTr="00107686">
        <w:tc>
          <w:tcPr>
            <w:tcW w:w="3257" w:type="dxa"/>
            <w:shd w:val="clear" w:color="auto" w:fill="EAF1F8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107686">
            <w:pPr>
              <w:bidi w:val="0"/>
              <w:ind w:left="-567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proofErr w:type="spellStart"/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Rhinosporidiosis</w:t>
            </w:r>
            <w:proofErr w:type="spellEnd"/>
          </w:p>
        </w:tc>
        <w:tc>
          <w:tcPr>
            <w:tcW w:w="5674" w:type="dxa"/>
            <w:shd w:val="clear" w:color="auto" w:fill="EAF1F8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107686">
            <w:pPr>
              <w:bidi w:val="0"/>
              <w:ind w:left="-567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Rhinosporidium</w:t>
            </w:r>
            <w:proofErr w:type="spellEnd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B20643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IQ"/>
              </w:rPr>
              <w:t>seeberi</w:t>
            </w:r>
            <w:proofErr w:type="spellEnd"/>
          </w:p>
        </w:tc>
        <w:tc>
          <w:tcPr>
            <w:tcW w:w="1329" w:type="dxa"/>
            <w:shd w:val="clear" w:color="auto" w:fill="EAF1F8"/>
            <w:tcMar>
              <w:top w:w="138" w:type="dxa"/>
              <w:left w:w="138" w:type="dxa"/>
              <w:bottom w:w="138" w:type="dxa"/>
              <w:right w:w="138" w:type="dxa"/>
            </w:tcMar>
            <w:hideMark/>
          </w:tcPr>
          <w:p w:rsidR="00B20643" w:rsidRPr="00B20643" w:rsidRDefault="00B20643" w:rsidP="00107686">
            <w:pPr>
              <w:bidi w:val="0"/>
              <w:ind w:left="-567"/>
              <w:jc w:val="right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B20643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Rare</w:t>
            </w:r>
          </w:p>
        </w:tc>
      </w:tr>
    </w:tbl>
    <w:p w:rsidR="00B20643" w:rsidRPr="00B20643" w:rsidRDefault="00B20643" w:rsidP="00107686">
      <w:pPr>
        <w:bidi w:val="0"/>
        <w:ind w:left="-567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B20643">
        <w:rPr>
          <w:rFonts w:asciiTheme="majorBidi" w:hAnsiTheme="majorBidi" w:cstheme="majorBidi"/>
          <w:sz w:val="28"/>
          <w:szCs w:val="28"/>
          <w:lang w:bidi="ar-IQ"/>
        </w:rPr>
        <w:t>These are chronic, localized infections of the skin and subcutaneous tissue following the traumatic implantation of the a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B20643">
        <w:rPr>
          <w:rFonts w:asciiTheme="majorBidi" w:hAnsiTheme="majorBidi" w:cstheme="majorBidi"/>
          <w:sz w:val="28"/>
          <w:szCs w:val="28"/>
          <w:lang w:bidi="ar-IQ"/>
        </w:rPr>
        <w:t>etiologic agent. The causative fungi are all soil saprophytes of regional epidemiology whose ability to adapt to the tissue environment</w:t>
      </w:r>
      <w:r w:rsidR="00D71A33">
        <w:rPr>
          <w:rFonts w:asciiTheme="majorBidi" w:hAnsiTheme="majorBidi" w:cstheme="majorBidi"/>
          <w:sz w:val="28"/>
          <w:szCs w:val="28"/>
          <w:lang w:bidi="ar-IQ"/>
        </w:rPr>
        <w:t xml:space="preserve"> and elicit disease is extremely </w:t>
      </w:r>
      <w:r w:rsidR="00D71A33" w:rsidRPr="00B20643">
        <w:rPr>
          <w:rFonts w:asciiTheme="majorBidi" w:hAnsiTheme="majorBidi" w:cstheme="majorBidi"/>
          <w:sz w:val="28"/>
          <w:szCs w:val="28"/>
          <w:lang w:bidi="ar-IQ"/>
        </w:rPr>
        <w:t>variable.</w:t>
      </w:r>
    </w:p>
    <w:p w:rsidR="00C622AE" w:rsidRDefault="00C622AE" w:rsidP="00107686">
      <w:pPr>
        <w:bidi w:val="0"/>
        <w:ind w:left="-567"/>
        <w:jc w:val="right"/>
        <w:rPr>
          <w:rFonts w:asciiTheme="majorBidi" w:hAnsiTheme="majorBidi" w:cstheme="majorBidi"/>
          <w:sz w:val="28"/>
          <w:szCs w:val="28"/>
          <w:lang w:bidi="ar-IQ"/>
        </w:rPr>
      </w:pP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proofErr w:type="spellStart"/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Sporotrichosis</w:t>
      </w:r>
      <w:proofErr w:type="spellEnd"/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Sporotrichosis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is primarily a chronic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mycotic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infection of the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cutaneous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or subcutaneous tissues and adjacent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lymphatics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characterized by nodular lesions which </w:t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lastRenderedPageBreak/>
        <w:t xml:space="preserve">may suppurate and ulcerate. Infections are caused by the traumatic implantation of the fungus into the skin, or very rarely, by inhalation into the lungs. Secondary spread to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articular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surfaces, bone and muscle is not infrequent, and the infection may also occasionally involve the central nervous system, lungs or genitourinary tract.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Clinical manifestations:</w:t>
      </w:r>
    </w:p>
    <w:p w:rsidR="00D71A33" w:rsidRPr="00D71A33" w:rsidRDefault="00D71A33" w:rsidP="00D71A33">
      <w:pPr>
        <w:bidi w:val="0"/>
        <w:ind w:left="-567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hyperlink r:id="rId7" w:tooltip="Fixed cutaneous sporotrichosis showing an ulcerating lesion on the leg" w:history="1">
        <w:r w:rsidRPr="00D71A33">
          <w:rPr>
            <w:rStyle w:val="Hyperlink"/>
            <w:rFonts w:asciiTheme="majorBidi" w:hAnsiTheme="majorBidi" w:cstheme="majorBidi"/>
            <w:sz w:val="28"/>
            <w:szCs w:val="28"/>
            <w:lang w:bidi="ar-IQ"/>
          </w:rPr>
          <w:t> </w:t>
        </w:r>
        <w:r w:rsidRPr="00D71A33">
          <w:rPr>
            <w:rStyle w:val="Hyperlink"/>
            <w:rFonts w:asciiTheme="majorBidi" w:hAnsiTheme="majorBidi" w:cstheme="majorBidi"/>
            <w:sz w:val="28"/>
            <w:szCs w:val="28"/>
            <w:lang w:bidi="ar-IQ"/>
          </w:rPr>
          <w:drawing>
            <wp:inline distT="0" distB="0" distL="0" distR="0">
              <wp:extent cx="2189480" cy="1433195"/>
              <wp:effectExtent l="19050" t="0" r="1270" b="0"/>
              <wp:docPr id="21" name="صورة 21" descr="Galley Item">
                <a:hlinkClick xmlns:a="http://schemas.openxmlformats.org/drawingml/2006/main" r:id="rId7" tooltip="&quot;Fixed cutaneous sporotrichosis showing an ulcerating lesion on the leg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Galley Item">
                        <a:hlinkClick r:id="rId7" tooltip="&quot;Fixed cutaneous sporotrichosis showing an ulcerating lesion on the leg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89480" cy="14331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Fixed </w:t>
      </w:r>
      <w:proofErr w:type="spellStart"/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cutaneous</w:t>
      </w:r>
      <w:proofErr w:type="spellEnd"/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  <w:proofErr w:type="spellStart"/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sporotrichosis</w:t>
      </w:r>
      <w:proofErr w:type="spellEnd"/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: </w:t>
      </w: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br/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Primary lesions develop at the site of implantation of the fungus, usually at more exposed sites mainly the limbs, hands and fingers. Lesions often start out as a painless nodule which soon become palpable and ulcerate often discharging a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serous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or purulent fluid. Importantly, lesions remain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localised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around the initial site of implantation and do not spread along the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lymphangitic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channels. Isolates from these lesions usually grow well at 35C, but not at 37C.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Lymphocutaneous</w:t>
      </w:r>
      <w:proofErr w:type="spellEnd"/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  <w:proofErr w:type="spellStart"/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sporotrichosis</w:t>
      </w:r>
      <w:proofErr w:type="spellEnd"/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br/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Primary lesions develop at the site of implantation of the fungus, but secondary lesions also appear along the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lymphangitic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channels which follow the same indolent course as the primary lesion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ie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they start out as painless nodules which soon become palpable and ulcerate. No systemic symptoms are present. Isolates from these lesions usually grow well at both 35C and 37C.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hyperlink r:id="rId9" w:tooltip="Lymphocutaneous sporotrichosis showing typical elevated subcutaneous nodules developing along the regional lymphatics of the forearm." w:history="1">
        <w:r w:rsidRPr="00D71A33">
          <w:rPr>
            <w:rStyle w:val="Hyperlink"/>
            <w:rFonts w:asciiTheme="majorBidi" w:hAnsiTheme="majorBidi" w:cstheme="majorBidi"/>
            <w:sz w:val="28"/>
            <w:szCs w:val="28"/>
            <w:lang w:bidi="ar-IQ"/>
          </w:rPr>
          <w:t> </w:t>
        </w:r>
        <w:r w:rsidRPr="00D71A33">
          <w:rPr>
            <w:rStyle w:val="Hyperlink"/>
            <w:rFonts w:asciiTheme="majorBidi" w:hAnsiTheme="majorBidi" w:cstheme="majorBidi"/>
            <w:sz w:val="28"/>
            <w:szCs w:val="28"/>
            <w:lang w:bidi="ar-IQ"/>
          </w:rPr>
          <w:drawing>
            <wp:inline distT="0" distB="0" distL="0" distR="0">
              <wp:extent cx="2189480" cy="1433195"/>
              <wp:effectExtent l="19050" t="0" r="1270" b="0"/>
              <wp:docPr id="22" name="صورة 22" descr="Galley Item">
                <a:hlinkClick xmlns:a="http://schemas.openxmlformats.org/drawingml/2006/main" r:id="rId9" tooltip="&quot;Lymphocutaneous sporotrichosis showing typical elevated subcutaneous nodules developing along the regional lymphatics of the forearm.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Galley Item">
                        <a:hlinkClick r:id="rId9" tooltip="&quot;Lymphocutaneous sporotrichosis showing typical elevated subcutaneous nodules developing along the regional lymphatics of the forearm.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89480" cy="14331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 w:rsidRPr="00D71A33">
        <w:rPr>
          <w:rFonts w:asciiTheme="majorBidi" w:hAnsiTheme="majorBidi" w:cstheme="majorBidi"/>
          <w:sz w:val="28"/>
          <w:szCs w:val="28"/>
          <w:lang w:bidi="ar-IQ"/>
        </w:rPr>
        <w:drawing>
          <wp:inline distT="0" distB="0" distL="0" distR="0">
            <wp:extent cx="2189480" cy="1433195"/>
            <wp:effectExtent l="19050" t="0" r="1270" b="0"/>
            <wp:docPr id="5" name="صورة 23" descr="Galley Item">
              <a:hlinkClick xmlns:a="http://schemas.openxmlformats.org/drawingml/2006/main" r:id="rId11" tooltip="&quot;Lymphocutaneous sporotrichosis showing more advanced, ulcerating lesions developing along the lymph system of the forearm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alley Item">
                      <a:hlinkClick r:id="rId11" tooltip="&quot;Lymphocutaneous sporotrichosis showing more advanced, ulcerating lesions developing along the lymph system of the forearm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br/>
        <w:t xml:space="preserve">Pulmonary </w:t>
      </w:r>
      <w:proofErr w:type="spellStart"/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sporotrichosis</w:t>
      </w:r>
      <w:proofErr w:type="spellEnd"/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br/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This is a rare entity usually caused by the inhalation of conidia but cases of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haematogenous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dissemination have been reported. Symptoms are nonspecific and include cough, sputum production, fever, weight loss and upper-lobe lesion.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lastRenderedPageBreak/>
        <w:t>Haemoptysis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may occur and it can be massive and fatal. The natural course of the lung lesion is gradual progression to death.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Osteoarticular</w:t>
      </w:r>
      <w:proofErr w:type="spellEnd"/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  <w:proofErr w:type="spellStart"/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sporotrichosis</w:t>
      </w:r>
      <w:proofErr w:type="spellEnd"/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br/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Most patients also have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cutaneous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lesions and present with stiffness and pain in a large joint, usually the knee, elbow, ankle or wrist.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Osteomyelitis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seldom occurs without arthritis; the lesions usually confined to the long bones near affected joints.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Other rare forms of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sporotrichoisis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include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endophthalmitis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chorioretinitis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and meningitis.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hyperlink r:id="rId13" w:tooltip="Section from a fixed cutaneous lesion showing round Periodic Acid-Schiff (PAS) positive budding yeast-like cells. Sporothrix schenckii is a dimorphic fungus and this is the typical yeast-like form seen in tissue." w:history="1">
        <w:r w:rsidRPr="00D71A33">
          <w:rPr>
            <w:rStyle w:val="Hyperlink"/>
            <w:rFonts w:asciiTheme="majorBidi" w:hAnsiTheme="majorBidi" w:cstheme="majorBidi"/>
            <w:sz w:val="28"/>
            <w:szCs w:val="28"/>
            <w:lang w:bidi="ar-IQ"/>
          </w:rPr>
          <w:t> </w:t>
        </w:r>
        <w:r w:rsidRPr="00D71A33">
          <w:rPr>
            <w:rStyle w:val="Hyperlink"/>
            <w:rFonts w:asciiTheme="majorBidi" w:hAnsiTheme="majorBidi" w:cstheme="majorBidi"/>
            <w:sz w:val="28"/>
            <w:szCs w:val="28"/>
            <w:lang w:bidi="ar-IQ"/>
          </w:rPr>
          <w:drawing>
            <wp:inline distT="0" distB="0" distL="0" distR="0">
              <wp:extent cx="2189480" cy="1433195"/>
              <wp:effectExtent l="19050" t="0" r="1270" b="0"/>
              <wp:docPr id="24" name="صورة 24" descr="Galley Item">
                <a:hlinkClick xmlns:a="http://schemas.openxmlformats.org/drawingml/2006/main" r:id="rId13" tooltip="&quot;Section from a fixed cutaneous lesion showing round Periodic Acid-Schiff (PAS) positive budding yeast-like cells. Sporothrix schenckii is a dimorphic fungus and this is the typical yeast-like form seen in tissue.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Galley Item">
                        <a:hlinkClick r:id="rId13" tooltip="&quot;Section from a fixed cutaneous lesion showing round Periodic Acid-Schiff (PAS) positive budding yeast-like cells. Sporothrix schenckii is a dimorphic fungus and this is the typical yeast-like form seen in tissue.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89480" cy="14331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Laboratory diagnosis: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1. Clinical material:</w:t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br/>
        <w:t>A tissue biopsy is the best specimen.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2. Direct Microscopy:</w:t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br/>
        <w:t xml:space="preserve">Tissue sections should be stained using PAS digest,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Grocott's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methenamine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silver (GMS) or Gram stain.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Interpretation:</w:t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t> </w:t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br/>
        <w:t>Look for small narrow base budding yeast cells (2-5um). </w:t>
      </w: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Note</w:t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t> they are often present in very low numbers and may be difficult to find. PAS and GMS stains are essential.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3. Culture:</w:t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t> </w:t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br/>
        <w:t xml:space="preserve">Clinical specimens should be inoculated onto primary isolation media, like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Sabouraud's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dextrose agar and Brain heart infusion agar supplemented with 5% sheep blood.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Interpretation: </w:t>
      </w: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br/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t>A positive culture from a biopsy should be considered significant.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4. Serology:</w:t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t> </w:t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br/>
        <w:t xml:space="preserve">Serological tests are of limited value in the diagnosis of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Sporotrichosis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lastRenderedPageBreak/>
        <w:t>5. Identification: </w:t>
      </w: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br/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Hyphomycete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characterized by thermal dimorphism and clusters of ovoid, denticulate conidia produced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sympodially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on short conidiophores.</w:t>
      </w:r>
    </w:p>
    <w:p w:rsid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6. Causative agents:</w:t>
      </w: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br/>
      </w:r>
      <w:proofErr w:type="spellStart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Sporothrix</w:t>
      </w:r>
      <w:proofErr w:type="spellEnd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proofErr w:type="spellStart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schenckii</w:t>
      </w:r>
      <w:proofErr w:type="spellEnd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 </w:t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t>complex.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A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mycotic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infection of humans and animals caused by a number of different fungi and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actinomycetes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characterized by draining sinuses, granules and tumefaction. The disease results from the traumatic implantation of the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aetiologic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agent and usually involves the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cutaneous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and subcutaneous tissue, fascia and bone of the foot or hand. Sinuses discharge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serosanguinous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fluid containing the granules which vary in size,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colour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and degree of hardness, depending on the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aetiologic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species, and are the hallmark of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mycetoma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. World-wide distribution but most common in bare-footed populations living in tropical or subtropical regions.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Aetiological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agents include</w:t>
      </w:r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 </w:t>
      </w:r>
      <w:proofErr w:type="spellStart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Madurella</w:t>
      </w:r>
      <w:proofErr w:type="spellEnd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, </w:t>
      </w:r>
      <w:proofErr w:type="spellStart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Acremonium</w:t>
      </w:r>
      <w:proofErr w:type="spellEnd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, </w:t>
      </w:r>
      <w:proofErr w:type="spellStart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Pseudallescheria</w:t>
      </w:r>
      <w:proofErr w:type="spellEnd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, </w:t>
      </w:r>
      <w:proofErr w:type="spellStart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Exophiala</w:t>
      </w:r>
      <w:proofErr w:type="spellEnd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, </w:t>
      </w:r>
      <w:proofErr w:type="spellStart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Leptosphaeria</w:t>
      </w:r>
      <w:proofErr w:type="spellEnd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, </w:t>
      </w:r>
      <w:proofErr w:type="spellStart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Curvularia</w:t>
      </w:r>
      <w:proofErr w:type="spellEnd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, </w:t>
      </w:r>
      <w:proofErr w:type="spellStart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Fusarium</w:t>
      </w:r>
      <w:proofErr w:type="spellEnd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, </w:t>
      </w:r>
      <w:proofErr w:type="spellStart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Aspergillus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> etc.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Clinical Manifestations: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Mycetoma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is a chronic,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suppurative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infection of the subcutaneous tissue and contiguous bone. The clinical features are fairly uniform, regardless of the organism involved. The feet are the most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coomon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site for infection and account for at least two-thirds of cases. Other sites include the lower legs, hands, head, neck, chest, shoulder and arms. Most cases start out as a small hard painless nodule which over time begins to soften on the surface and ulcerate to discharge a viscous, purulent fluid containing grains. The infection slowly spreads to adjacent tissue, including bone, often causing considerable deformity. Sinuses continue to discharge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serosanguinous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fluid containing the granules which vary in size,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colour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and degree of hardness, depending on the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aetiologic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species. These grains are the hallmark of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mycetoma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hyperlink r:id="rId15" w:tooltip="Mycetoma showing numerous draining sinuses. There is destruction of bone, distortion of the foot, and hyperplasia at the openings of the sinus tracts. (Courtesy John Rippon USA)." w:history="1">
        <w:r w:rsidRPr="00D71A33">
          <w:rPr>
            <w:rStyle w:val="Hyperlink"/>
            <w:rFonts w:asciiTheme="majorBidi" w:hAnsiTheme="majorBidi" w:cstheme="majorBidi"/>
            <w:sz w:val="28"/>
            <w:szCs w:val="28"/>
            <w:lang w:bidi="ar-IQ"/>
          </w:rPr>
          <w:t> </w:t>
        </w:r>
        <w:r w:rsidRPr="00D71A33">
          <w:rPr>
            <w:rStyle w:val="Hyperlink"/>
            <w:rFonts w:asciiTheme="majorBidi" w:hAnsiTheme="majorBidi" w:cstheme="majorBidi"/>
            <w:sz w:val="28"/>
            <w:szCs w:val="28"/>
            <w:lang w:bidi="ar-IQ"/>
          </w:rPr>
          <w:drawing>
            <wp:inline distT="0" distB="0" distL="0" distR="0">
              <wp:extent cx="2189480" cy="1433195"/>
              <wp:effectExtent l="19050" t="0" r="1270" b="0"/>
              <wp:docPr id="48" name="صورة 48" descr="Galley Item">
                <a:hlinkClick xmlns:a="http://schemas.openxmlformats.org/drawingml/2006/main" r:id="rId15" tooltip="&quot;Mycetoma showing numerous draining sinuses. There is destruction of bone, distortion of the foot, and hyperplasia at the openings of the sinus tracts. (Courtesy John Rippon USA).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" descr="Galley Item">
                        <a:hlinkClick r:id="rId15" tooltip="&quot;Mycetoma showing numerous draining sinuses. There is destruction of bone, distortion of the foot, and hyperplasia at the openings of the sinus tracts. (Courtesy John Rippon USA).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89480" cy="14331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hyperlink r:id="rId17" w:tooltip="Excised mycetoma showing a draining sinus (cut open in this preparation) containing black grains." w:history="1">
        <w:r w:rsidRPr="00D71A33">
          <w:rPr>
            <w:rStyle w:val="Hyperlink"/>
            <w:rFonts w:asciiTheme="majorBidi" w:hAnsiTheme="majorBidi" w:cstheme="majorBidi"/>
            <w:sz w:val="28"/>
            <w:szCs w:val="28"/>
            <w:lang w:bidi="ar-IQ"/>
          </w:rPr>
          <w:t> </w:t>
        </w:r>
        <w:r w:rsidRPr="00D71A33">
          <w:rPr>
            <w:rStyle w:val="Hyperlink"/>
            <w:rFonts w:asciiTheme="majorBidi" w:hAnsiTheme="majorBidi" w:cstheme="majorBidi"/>
            <w:sz w:val="28"/>
            <w:szCs w:val="28"/>
            <w:lang w:bidi="ar-IQ"/>
          </w:rPr>
          <w:drawing>
            <wp:inline distT="0" distB="0" distL="0" distR="0">
              <wp:extent cx="2189480" cy="1433195"/>
              <wp:effectExtent l="19050" t="0" r="1270" b="0"/>
              <wp:docPr id="49" name="صورة 49" descr="Galley Item">
                <a:hlinkClick xmlns:a="http://schemas.openxmlformats.org/drawingml/2006/main" r:id="rId17" tooltip="&quot;Excised mycetoma showing a draining sinus (cut open in this preparation) containing black grains.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" descr="Galley Item">
                        <a:hlinkClick r:id="rId17" tooltip="&quot;Excised mycetoma showing a draining sinus (cut open in this preparation) containing black grains.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89480" cy="14331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107686" w:rsidRDefault="00107686" w:rsidP="00D71A33">
      <w:pPr>
        <w:bidi w:val="0"/>
        <w:ind w:left="-567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D71A33" w:rsidRPr="00D71A33" w:rsidRDefault="00D71A33" w:rsidP="00107686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lastRenderedPageBreak/>
        <w:t>Laboratory Diagnosis: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1. Clinical Material:</w:t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t> </w:t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br/>
        <w:t xml:space="preserve">Tissue biopsy or excised sinus,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serosanguinous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fluid containing the granules which vary in size,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colour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and degree of hardness, depending on the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aetiologic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species.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hyperlink r:id="rId19" w:tooltip="H&amp;E stained tissue section showing blacked grained eumycotic mycetoma caused by &lt;em&gt;Madurella mycetomatis&lt;/em&gt;." w:history="1">
        <w:r w:rsidRPr="00D71A33">
          <w:rPr>
            <w:rStyle w:val="Hyperlink"/>
            <w:rFonts w:asciiTheme="majorBidi" w:hAnsiTheme="majorBidi" w:cstheme="majorBidi"/>
            <w:sz w:val="28"/>
            <w:szCs w:val="28"/>
            <w:lang w:bidi="ar-IQ"/>
          </w:rPr>
          <w:t> </w:t>
        </w:r>
        <w:r w:rsidRPr="00D71A33">
          <w:rPr>
            <w:rStyle w:val="Hyperlink"/>
            <w:rFonts w:asciiTheme="majorBidi" w:hAnsiTheme="majorBidi" w:cstheme="majorBidi"/>
            <w:sz w:val="28"/>
            <w:szCs w:val="28"/>
            <w:lang w:bidi="ar-IQ"/>
          </w:rPr>
          <w:drawing>
            <wp:inline distT="0" distB="0" distL="0" distR="0">
              <wp:extent cx="2189480" cy="1433195"/>
              <wp:effectExtent l="19050" t="0" r="1270" b="0"/>
              <wp:docPr id="50" name="صورة 50" descr="Galley Item">
                <a:hlinkClick xmlns:a="http://schemas.openxmlformats.org/drawingml/2006/main" r:id="rId19" tooltip="&quot;H&amp;E stained tissue section showing blacked grained eumycotic mycetoma caused by &lt;em&gt;Madurella mycetomatis&lt;/em&gt;.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0" descr="Galley Item">
                        <a:hlinkClick r:id="rId19" tooltip="&quot;H&amp;E stained tissue section showing blacked grained eumycotic mycetoma caused by &lt;em&gt;Madurella mycetomatis&lt;/em&gt;.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89480" cy="14331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2. Direct Microscopy:</w:t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t> </w:t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br/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Serosanguinous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fluid containing the granules should be examined using either 10% KOH and Parker ink or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calcofluor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white mounts, and tissue sections should be stained using H&amp;E, PAS digest, and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Grocott's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methenamine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silver (GMS).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Interpretation:</w:t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t> </w:t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br/>
        <w:t>The presence of white to yellow or black pigmented grains, from a patient with supporting clinical symptoms should be considered significant. Biopsy and evidence of tissue invasion is of particular importance. Remember direct microscopy or histopathology does not offer a specific identification of the causative agent.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3. Culture:</w:t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t> </w:t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br/>
        <w:t xml:space="preserve">Clinical specimens should be inoculated onto primary isolation media, like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Sabouraud's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 dextrose agar.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4. Serology: </w:t>
      </w: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br/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t xml:space="preserve">There are currently no commercially available serological procedures for the diagnosis of </w:t>
      </w:r>
      <w:proofErr w:type="spellStart"/>
      <w:r w:rsidRPr="00D71A33">
        <w:rPr>
          <w:rFonts w:asciiTheme="majorBidi" w:hAnsiTheme="majorBidi" w:cstheme="majorBidi"/>
          <w:sz w:val="28"/>
          <w:szCs w:val="28"/>
          <w:lang w:bidi="ar-IQ"/>
        </w:rPr>
        <w:t>mycetoma</w:t>
      </w:r>
      <w:proofErr w:type="spellEnd"/>
      <w:r w:rsidRPr="00D71A33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5. Identification:</w:t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t> </w:t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br/>
        <w:t>Characteristic clinical, microscopic and culture features.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t>6. Causative agents:</w:t>
      </w:r>
      <w:r w:rsidRPr="00D71A33">
        <w:rPr>
          <w:rFonts w:asciiTheme="majorBidi" w:hAnsiTheme="majorBidi" w:cstheme="majorBidi"/>
          <w:b/>
          <w:bCs/>
          <w:sz w:val="28"/>
          <w:szCs w:val="28"/>
          <w:lang w:bidi="ar-IQ"/>
        </w:rPr>
        <w:br/>
      </w:r>
      <w:proofErr w:type="spellStart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Acremonium</w:t>
      </w:r>
      <w:proofErr w:type="spellEnd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 </w:t>
      </w:r>
      <w:r w:rsidRPr="00D71A33">
        <w:rPr>
          <w:rFonts w:asciiTheme="majorBidi" w:hAnsiTheme="majorBidi" w:cstheme="majorBidi"/>
          <w:sz w:val="28"/>
          <w:szCs w:val="28"/>
          <w:lang w:bidi="ar-IQ"/>
        </w:rPr>
        <w:t>sp.,</w:t>
      </w:r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 </w:t>
      </w:r>
      <w:proofErr w:type="spellStart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Aspergillus</w:t>
      </w:r>
      <w:proofErr w:type="spellEnd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proofErr w:type="spellStart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nidulans</w:t>
      </w:r>
      <w:proofErr w:type="spellEnd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, </w:t>
      </w:r>
      <w:proofErr w:type="spellStart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Madurella</w:t>
      </w:r>
      <w:proofErr w:type="spellEnd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proofErr w:type="spellStart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grisea</w:t>
      </w:r>
      <w:proofErr w:type="spellEnd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, </w:t>
      </w:r>
      <w:proofErr w:type="spellStart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Madurella</w:t>
      </w:r>
      <w:proofErr w:type="spellEnd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proofErr w:type="spellStart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mycetomatis</w:t>
      </w:r>
      <w:proofErr w:type="spellEnd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, </w:t>
      </w:r>
      <w:proofErr w:type="spellStart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Scedosporium</w:t>
      </w:r>
      <w:proofErr w:type="spellEnd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proofErr w:type="spellStart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apiospermum</w:t>
      </w:r>
      <w:proofErr w:type="spellEnd"/>
      <w:r w:rsidRPr="00D71A33">
        <w:rPr>
          <w:rFonts w:asciiTheme="majorBidi" w:hAnsiTheme="majorBidi" w:cstheme="majorBidi"/>
          <w:i/>
          <w:iCs/>
          <w:sz w:val="28"/>
          <w:szCs w:val="28"/>
          <w:lang w:bidi="ar-IQ"/>
        </w:rPr>
        <w:t>. </w:t>
      </w:r>
    </w:p>
    <w:p w:rsidR="00D71A33" w:rsidRPr="00D71A3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</w:p>
    <w:p w:rsidR="00D71A33" w:rsidRPr="00B20643" w:rsidRDefault="00D71A33" w:rsidP="00D71A33">
      <w:pPr>
        <w:bidi w:val="0"/>
        <w:ind w:left="-567"/>
        <w:rPr>
          <w:rFonts w:asciiTheme="majorBidi" w:hAnsiTheme="majorBidi" w:cstheme="majorBidi"/>
          <w:sz w:val="28"/>
          <w:szCs w:val="28"/>
          <w:lang w:bidi="ar-IQ"/>
        </w:rPr>
      </w:pPr>
    </w:p>
    <w:sectPr w:rsidR="00D71A33" w:rsidRPr="00B20643" w:rsidSect="00D71A33">
      <w:headerReference w:type="default" r:id="rId21"/>
      <w:footerReference w:type="default" r:id="rId22"/>
      <w:pgSz w:w="11906" w:h="16838"/>
      <w:pgMar w:top="1440" w:right="849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EF6" w:rsidRDefault="002C4EF6" w:rsidP="00107686">
      <w:pPr>
        <w:spacing w:after="0" w:line="240" w:lineRule="auto"/>
      </w:pPr>
      <w:r>
        <w:separator/>
      </w:r>
    </w:p>
  </w:endnote>
  <w:endnote w:type="continuationSeparator" w:id="0">
    <w:p w:rsidR="002C4EF6" w:rsidRDefault="002C4EF6" w:rsidP="00107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686" w:rsidRDefault="00107686" w:rsidP="00107686">
    <w:pPr>
      <w:pStyle w:val="a4"/>
      <w:bidi w:val="0"/>
      <w:rPr>
        <w:lang w:bidi="ar-IQ"/>
      </w:rPr>
    </w:pPr>
    <w:r>
      <w:rPr>
        <w:lang w:bidi="ar-IQ"/>
      </w:rPr>
      <w:fldChar w:fldCharType="begin"/>
    </w:r>
    <w:r>
      <w:rPr>
        <w:lang w:bidi="ar-IQ"/>
      </w:rPr>
      <w:instrText xml:space="preserve"> PAGE  \* Arabic  \* MERGEFORMAT </w:instrText>
    </w:r>
    <w:r>
      <w:rPr>
        <w:lang w:bidi="ar-IQ"/>
      </w:rPr>
      <w:fldChar w:fldCharType="separate"/>
    </w:r>
    <w:r w:rsidR="00970DD9">
      <w:rPr>
        <w:noProof/>
        <w:lang w:bidi="ar-IQ"/>
      </w:rPr>
      <w:t>2</w:t>
    </w:r>
    <w:r>
      <w:rPr>
        <w:lang w:bidi="ar-IQ"/>
      </w:rPr>
      <w:fldChar w:fldCharType="end"/>
    </w:r>
    <w:r>
      <w:rPr>
        <w:lang w:bidi="ar-IQ"/>
      </w:rPr>
      <w:t xml:space="preserve">                                                                                                                                                 A.L. Lamieaa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EF6" w:rsidRDefault="002C4EF6" w:rsidP="00107686">
      <w:pPr>
        <w:spacing w:after="0" w:line="240" w:lineRule="auto"/>
      </w:pPr>
      <w:r>
        <w:separator/>
      </w:r>
    </w:p>
  </w:footnote>
  <w:footnote w:type="continuationSeparator" w:id="0">
    <w:p w:rsidR="002C4EF6" w:rsidRDefault="002C4EF6" w:rsidP="00107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686" w:rsidRDefault="00107686" w:rsidP="00107686">
    <w:pPr>
      <w:pStyle w:val="a3"/>
      <w:bidi w:val="0"/>
      <w:rPr>
        <w:lang w:bidi="ar-IQ"/>
      </w:rPr>
    </w:pPr>
    <w:r>
      <w:rPr>
        <w:lang w:bidi="ar-IQ"/>
      </w:rPr>
      <w:t xml:space="preserve">Mycology                                                                                                                                     </w:t>
    </w:r>
    <w:proofErr w:type="spellStart"/>
    <w:r>
      <w:rPr>
        <w:lang w:bidi="ar-IQ"/>
      </w:rPr>
      <w:t>Lec</w:t>
    </w:r>
    <w:proofErr w:type="spellEnd"/>
    <w:r>
      <w:rPr>
        <w:lang w:bidi="ar-IQ"/>
      </w:rPr>
      <w:t>. 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91D38"/>
    <w:multiLevelType w:val="multilevel"/>
    <w:tmpl w:val="5F580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CE3EF8"/>
    <w:multiLevelType w:val="multilevel"/>
    <w:tmpl w:val="ECCA8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D966E7"/>
    <w:multiLevelType w:val="multilevel"/>
    <w:tmpl w:val="FC54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940EEC"/>
    <w:multiLevelType w:val="multilevel"/>
    <w:tmpl w:val="4A6C9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D729B9"/>
    <w:multiLevelType w:val="multilevel"/>
    <w:tmpl w:val="B32C3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0643"/>
    <w:rsid w:val="00030363"/>
    <w:rsid w:val="000733C5"/>
    <w:rsid w:val="00107686"/>
    <w:rsid w:val="00151EC2"/>
    <w:rsid w:val="002C4EF6"/>
    <w:rsid w:val="003C0429"/>
    <w:rsid w:val="0040606A"/>
    <w:rsid w:val="005572FA"/>
    <w:rsid w:val="00685583"/>
    <w:rsid w:val="00970DD9"/>
    <w:rsid w:val="00990FDC"/>
    <w:rsid w:val="00AD0D7E"/>
    <w:rsid w:val="00B02373"/>
    <w:rsid w:val="00B20643"/>
    <w:rsid w:val="00B56B66"/>
    <w:rsid w:val="00C06B86"/>
    <w:rsid w:val="00C622AE"/>
    <w:rsid w:val="00D40CA6"/>
    <w:rsid w:val="00D42B07"/>
    <w:rsid w:val="00D71A33"/>
    <w:rsid w:val="00E568FB"/>
    <w:rsid w:val="00E70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2AE"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D71A33"/>
    <w:rPr>
      <w:color w:val="0000FF" w:themeColor="hyperlink"/>
      <w:u w:val="single"/>
    </w:rPr>
  </w:style>
  <w:style w:type="paragraph" w:styleId="a3">
    <w:name w:val="header"/>
    <w:basedOn w:val="a"/>
    <w:link w:val="Char"/>
    <w:uiPriority w:val="99"/>
    <w:semiHidden/>
    <w:unhideWhenUsed/>
    <w:rsid w:val="001076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semiHidden/>
    <w:rsid w:val="00107686"/>
  </w:style>
  <w:style w:type="paragraph" w:styleId="a4">
    <w:name w:val="footer"/>
    <w:basedOn w:val="a"/>
    <w:link w:val="Char0"/>
    <w:uiPriority w:val="99"/>
    <w:semiHidden/>
    <w:unhideWhenUsed/>
    <w:rsid w:val="001076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semiHidden/>
    <w:rsid w:val="00107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14010">
          <w:marLeft w:val="222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458042"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7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186563">
          <w:marLeft w:val="222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7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67125"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761345">
          <w:marLeft w:val="222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0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4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87991">
          <w:marLeft w:val="222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39332"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786116">
          <w:marLeft w:val="222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7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434"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24490">
          <w:marLeft w:val="222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2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ycology.adelaide.edu.au/images/sporo-histo.jpg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mycology.adelaide.edu.au/images/sporo-clin3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mycology.adelaide.edu.au/images/mycetoma-clin2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ycology.adelaide.edu.au/images/sporo-clin1.jpg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ycology.adelaide.edu.au/images/mycetoma-clin1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mycology.adelaide.edu.au/images/mycetoma-grain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ycology.adelaide.edu.au/images/sporo-clin2.jpg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1226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Rotana Center</dc:creator>
  <cp:lastModifiedBy>Rotana Center</cp:lastModifiedBy>
  <cp:revision>2</cp:revision>
  <dcterms:created xsi:type="dcterms:W3CDTF">2019-03-08T15:51:00Z</dcterms:created>
  <dcterms:modified xsi:type="dcterms:W3CDTF">2019-03-08T16:18:00Z</dcterms:modified>
</cp:coreProperties>
</file>